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31" w:rsidRDefault="00E97E31" w:rsidP="00C17552">
      <w:pPr>
        <w:shd w:val="clear" w:color="auto" w:fill="DFDFDF"/>
        <w:spacing w:after="0"/>
        <w:ind w:right="26"/>
        <w:jc w:val="center"/>
        <w:rPr>
          <w:rFonts w:ascii="Tempus Sans ITC" w:hAnsi="Tempus Sans ITC"/>
          <w:color w:val="000000"/>
          <w:sz w:val="18"/>
          <w:szCs w:val="18"/>
        </w:rPr>
      </w:pPr>
      <w:r>
        <w:rPr>
          <w:rFonts w:ascii="Tempus Sans ITC" w:hAnsi="Tempus Sans ITC"/>
          <w:color w:val="000000"/>
          <w:sz w:val="18"/>
          <w:szCs w:val="18"/>
        </w:rPr>
        <w:t>15</w:t>
      </w:r>
      <w:r>
        <w:rPr>
          <w:rFonts w:ascii="Tempus Sans ITC" w:hAnsi="Tempus Sans ITC"/>
          <w:color w:val="000000"/>
          <w:sz w:val="18"/>
          <w:szCs w:val="18"/>
          <w:vertAlign w:val="superscript"/>
        </w:rPr>
        <w:t>th</w:t>
      </w:r>
      <w:r>
        <w:rPr>
          <w:rFonts w:ascii="Tempus Sans ITC" w:hAnsi="Tempus Sans ITC"/>
          <w:color w:val="000000"/>
          <w:sz w:val="18"/>
          <w:szCs w:val="18"/>
        </w:rPr>
        <w:t xml:space="preserve"> Annual Northeastern</w:t>
      </w:r>
    </w:p>
    <w:p w:rsidR="00E97E31" w:rsidRDefault="00E97E31" w:rsidP="00C17552">
      <w:pPr>
        <w:shd w:val="clear" w:color="auto" w:fill="DFDFDF"/>
        <w:spacing w:after="0"/>
        <w:ind w:right="26"/>
        <w:jc w:val="center"/>
        <w:rPr>
          <w:rFonts w:ascii="Tempus Sans ITC" w:hAnsi="Tempus Sans ITC"/>
          <w:b/>
          <w:bCs/>
          <w:i/>
          <w:iCs/>
          <w:color w:val="3F3FCF"/>
          <w:sz w:val="40"/>
          <w:szCs w:val="40"/>
        </w:rPr>
      </w:pPr>
      <w:r>
        <w:rPr>
          <w:rFonts w:ascii="Tempus Sans ITC" w:hAnsi="Tempus Sans ITC"/>
          <w:b/>
          <w:bCs/>
          <w:i/>
          <w:iCs/>
          <w:color w:val="3F3FCF"/>
          <w:sz w:val="40"/>
          <w:szCs w:val="40"/>
        </w:rPr>
        <w:t>Granular Materials Workshop</w:t>
      </w:r>
    </w:p>
    <w:p w:rsidR="00E97E31" w:rsidRDefault="00E97E31" w:rsidP="00C17552">
      <w:pPr>
        <w:shd w:val="clear" w:color="auto" w:fill="DFDFDF"/>
        <w:spacing w:after="0"/>
        <w:ind w:right="26"/>
        <w:jc w:val="center"/>
        <w:rPr>
          <w:rFonts w:ascii="Tempus Sans ITC" w:hAnsi="Tempus Sans ITC"/>
          <w:color w:val="000000"/>
          <w:sz w:val="18"/>
          <w:szCs w:val="18"/>
        </w:rPr>
      </w:pPr>
      <w:r>
        <w:rPr>
          <w:rFonts w:ascii="Tempus Sans ITC" w:hAnsi="Tempus Sans ITC"/>
          <w:color w:val="000000"/>
          <w:sz w:val="18"/>
          <w:szCs w:val="18"/>
        </w:rPr>
        <w:t>Friday June 2</w:t>
      </w:r>
      <w:r>
        <w:rPr>
          <w:rFonts w:ascii="Tempus Sans ITC" w:hAnsi="Tempus Sans ITC"/>
          <w:color w:val="000000"/>
          <w:sz w:val="18"/>
          <w:szCs w:val="18"/>
          <w:vertAlign w:val="superscript"/>
        </w:rPr>
        <w:t>nd</w:t>
      </w:r>
      <w:r>
        <w:rPr>
          <w:rFonts w:ascii="Tempus Sans ITC" w:hAnsi="Tempus Sans ITC"/>
          <w:color w:val="000000"/>
          <w:sz w:val="18"/>
          <w:szCs w:val="18"/>
        </w:rPr>
        <w:t xml:space="preserve">, 2017 </w:t>
      </w:r>
    </w:p>
    <w:p w:rsidR="00E97E31" w:rsidRDefault="00E97E31" w:rsidP="00C17552">
      <w:pPr>
        <w:shd w:val="clear" w:color="auto" w:fill="DFDFDF"/>
        <w:spacing w:after="0"/>
        <w:ind w:right="26"/>
        <w:jc w:val="center"/>
        <w:rPr>
          <w:rFonts w:ascii="Tempus Sans ITC" w:hAnsi="Tempus Sans ITC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Tempus Sans ITC" w:hAnsi="Tempus Sans ITC"/>
            <w:sz w:val="20"/>
            <w:szCs w:val="20"/>
          </w:rPr>
          <w:t>Mechanical and Industrial Engineering</w:t>
        </w:r>
      </w:hyperlink>
      <w:r>
        <w:rPr>
          <w:rFonts w:ascii="Tempus Sans ITC" w:hAnsi="Tempus Sans ITC"/>
          <w:color w:val="000000"/>
          <w:sz w:val="20"/>
          <w:szCs w:val="20"/>
        </w:rPr>
        <w:t xml:space="preserve">, </w:t>
      </w:r>
      <w:hyperlink r:id="rId5" w:history="1">
        <w:r>
          <w:rPr>
            <w:rStyle w:val="Hyperlink"/>
            <w:rFonts w:ascii="Tempus Sans ITC" w:hAnsi="Tempus Sans ITC"/>
            <w:sz w:val="20"/>
            <w:szCs w:val="20"/>
          </w:rPr>
          <w:t>Northeastern University</w:t>
        </w:r>
      </w:hyperlink>
      <w:r>
        <w:rPr>
          <w:rFonts w:ascii="Tempus Sans ITC" w:hAnsi="Tempus Sans ITC"/>
          <w:color w:val="000000"/>
          <w:sz w:val="20"/>
          <w:szCs w:val="20"/>
        </w:rPr>
        <w:t xml:space="preserve"> </w:t>
      </w:r>
    </w:p>
    <w:p w:rsidR="00E97E31" w:rsidRDefault="00E97E31" w:rsidP="00C17552">
      <w:pPr>
        <w:tabs>
          <w:tab w:val="left" w:pos="360"/>
        </w:tabs>
        <w:ind w:right="26"/>
        <w:rPr>
          <w:lang w:val="en-US"/>
        </w:rPr>
      </w:pPr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 xml:space="preserve"> 8:30</w:t>
      </w:r>
      <w:r w:rsidRPr="00C17552">
        <w:rPr>
          <w:lang w:val="en-US"/>
        </w:rPr>
        <w:tab/>
      </w:r>
      <w:r w:rsidRPr="00C17552">
        <w:rPr>
          <w:b/>
          <w:i/>
          <w:lang w:val="en-US"/>
        </w:rPr>
        <w:t>Breakfast</w:t>
      </w:r>
    </w:p>
    <w:p w:rsidR="00E97E31" w:rsidRPr="00C17552" w:rsidRDefault="00E97E31" w:rsidP="00C17552">
      <w:pPr>
        <w:tabs>
          <w:tab w:val="left" w:pos="360"/>
        </w:tabs>
        <w:ind w:right="26"/>
        <w:rPr>
          <w:i/>
          <w:lang w:val="en-US"/>
        </w:rPr>
      </w:pPr>
      <w:r w:rsidRPr="00C17552">
        <w:rPr>
          <w:b/>
          <w:i/>
          <w:lang w:val="en-US"/>
        </w:rPr>
        <w:t>Invited talks</w:t>
      </w:r>
      <w:r w:rsidRPr="00C17552">
        <w:rPr>
          <w:i/>
          <w:lang w:val="en-US"/>
        </w:rPr>
        <w:t xml:space="preserve"> 35 mins talk + 10 mins questions;</w:t>
      </w:r>
      <w:r>
        <w:rPr>
          <w:i/>
          <w:lang w:val="en-US"/>
        </w:rPr>
        <w:t xml:space="preserve"> Contributed</w:t>
      </w:r>
      <w:r w:rsidRPr="00C17552">
        <w:rPr>
          <w:i/>
          <w:lang w:val="en-US"/>
        </w:rPr>
        <w:t xml:space="preserve"> talks 10+5 mins</w:t>
      </w:r>
    </w:p>
    <w:p w:rsidR="00E97E31" w:rsidRPr="00C17552" w:rsidRDefault="00E97E31" w:rsidP="00C17552">
      <w:pPr>
        <w:tabs>
          <w:tab w:val="left" w:pos="360"/>
        </w:tabs>
        <w:ind w:right="26"/>
        <w:rPr>
          <w:b/>
          <w:lang w:val="en-US"/>
        </w:rPr>
      </w:pPr>
      <w:r w:rsidRPr="00C17552">
        <w:rPr>
          <w:b/>
          <w:lang w:val="en-US"/>
        </w:rPr>
        <w:t xml:space="preserve">Session 1 </w:t>
      </w:r>
      <w:r w:rsidRPr="00C17552">
        <w:rPr>
          <w:b/>
          <w:lang w:val="en-US"/>
        </w:rPr>
        <w:tab/>
      </w:r>
      <w:r w:rsidRPr="00C17552">
        <w:rPr>
          <w:i/>
          <w:lang w:val="en-US"/>
        </w:rPr>
        <w:t>Chair:</w:t>
      </w:r>
      <w:r w:rsidRPr="00C17552">
        <w:rPr>
          <w:b/>
          <w:lang w:val="en-US"/>
        </w:rPr>
        <w:t xml:space="preserve"> </w:t>
      </w:r>
      <w:r w:rsidRPr="00C17552">
        <w:rPr>
          <w:lang w:val="en-US"/>
        </w:rPr>
        <w:t>Craig Maloney</w:t>
      </w:r>
    </w:p>
    <w:p w:rsidR="00E97E31" w:rsidRPr="00C17552" w:rsidRDefault="00E97E31" w:rsidP="00C17552">
      <w:pPr>
        <w:tabs>
          <w:tab w:val="left" w:pos="360"/>
        </w:tabs>
        <w:ind w:right="26"/>
        <w:rPr>
          <w:rStyle w:val="Emphasis"/>
          <w:b/>
          <w:color w:val="0000FF"/>
          <w:lang w:val="en-US"/>
        </w:rPr>
      </w:pPr>
      <w:r w:rsidRPr="00C17552">
        <w:rPr>
          <w:lang w:val="en-US"/>
        </w:rPr>
        <w:t>9:30</w:t>
      </w:r>
      <w:r w:rsidRPr="00C17552">
        <w:rPr>
          <w:lang w:val="en-US"/>
        </w:rPr>
        <w:tab/>
      </w:r>
      <w:r w:rsidRPr="00C17552">
        <w:rPr>
          <w:b/>
          <w:bCs/>
        </w:rPr>
        <w:t xml:space="preserve">Alfredo Alexander-Katz </w:t>
      </w:r>
      <w:hyperlink r:id="rId6" w:tooltip="View Abstract." w:history="1">
        <w:r w:rsidRPr="00C17552">
          <w:rPr>
            <w:b/>
            <w:bCs/>
            <w:i/>
            <w:iCs/>
            <w:color w:val="3F3FFF"/>
          </w:rPr>
          <w:t>Plastic Attraction and Other Strange Phenomena in Active Matter</w:t>
        </w:r>
      </w:hyperlink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>10:15</w:t>
      </w:r>
      <w:r w:rsidRPr="00C17552">
        <w:rPr>
          <w:lang w:val="en-US"/>
        </w:rPr>
        <w:tab/>
        <w:t xml:space="preserve">Jesse Silverberg </w:t>
      </w:r>
      <w:hyperlink r:id="rId7" w:tooltip="View Abstract." w:history="1">
        <w:r w:rsidRPr="00C17552">
          <w:rPr>
            <w:i/>
            <w:iCs/>
            <w:color w:val="3F3FFF"/>
          </w:rPr>
          <w:t>Extreme Human Collective Motion: A Granular Approach</w:t>
        </w:r>
      </w:hyperlink>
    </w:p>
    <w:p w:rsidR="00E97E31" w:rsidRPr="00C17552" w:rsidRDefault="00E97E31" w:rsidP="00C17552">
      <w:pPr>
        <w:tabs>
          <w:tab w:val="left" w:pos="360"/>
        </w:tabs>
        <w:ind w:left="720" w:right="26" w:hanging="720"/>
        <w:rPr>
          <w:lang w:val="en-US"/>
        </w:rPr>
      </w:pPr>
      <w:r w:rsidRPr="00C17552">
        <w:rPr>
          <w:lang w:val="en-US"/>
        </w:rPr>
        <w:t>10:30</w:t>
      </w:r>
      <w:r w:rsidRPr="00C17552">
        <w:rPr>
          <w:lang w:val="en-US"/>
        </w:rPr>
        <w:tab/>
      </w:r>
      <w:r w:rsidRPr="00C17552">
        <w:t>Kyle VanderWerf</w:t>
      </w:r>
      <w:r w:rsidRPr="00C17552">
        <w:rPr>
          <w:lang w:val="en-US"/>
        </w:rPr>
        <w:t xml:space="preserve"> </w:t>
      </w:r>
      <w:hyperlink r:id="rId8" w:tooltip="View Abstract." w:history="1">
        <w:r w:rsidRPr="00C17552">
          <w:rPr>
            <w:i/>
            <w:iCs/>
            <w:color w:val="3F3FFF"/>
          </w:rPr>
          <w:t>Why do certain jammed packings of hard particles disobey Maxwell’s rigidity criterion?</w:t>
        </w:r>
      </w:hyperlink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 xml:space="preserve">10:45 </w:t>
      </w:r>
      <w:r w:rsidRPr="00C17552">
        <w:rPr>
          <w:lang w:val="en-US"/>
        </w:rPr>
        <w:tab/>
      </w:r>
      <w:r w:rsidRPr="00C17552">
        <w:rPr>
          <w:i/>
          <w:lang w:val="en-US"/>
        </w:rPr>
        <w:t>Coffee/</w:t>
      </w:r>
      <w:r w:rsidRPr="00C17552">
        <w:rPr>
          <w:b/>
          <w:i/>
          <w:lang w:val="en-US"/>
        </w:rPr>
        <w:t>Posters</w:t>
      </w:r>
    </w:p>
    <w:p w:rsidR="00E97E31" w:rsidRPr="00C17552" w:rsidRDefault="00E97E31" w:rsidP="00C175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</w:tabs>
        <w:ind w:right="26"/>
        <w:rPr>
          <w:b/>
          <w:i/>
          <w:lang w:val="en-US"/>
        </w:rPr>
      </w:pPr>
      <w:r w:rsidRPr="00C17552">
        <w:rPr>
          <w:b/>
          <w:lang w:val="en-US"/>
        </w:rPr>
        <w:t xml:space="preserve">Session 2  </w:t>
      </w:r>
      <w:r w:rsidRPr="00C17552">
        <w:rPr>
          <w:b/>
          <w:lang w:val="en-US"/>
        </w:rPr>
        <w:tab/>
      </w:r>
      <w:r w:rsidRPr="00C17552">
        <w:rPr>
          <w:i/>
          <w:lang w:val="en-US"/>
        </w:rPr>
        <w:t>Chair:</w:t>
      </w:r>
      <w:r w:rsidRPr="00C17552">
        <w:rPr>
          <w:b/>
          <w:lang w:val="en-US"/>
        </w:rPr>
        <w:t xml:space="preserve"> </w:t>
      </w:r>
      <w:r w:rsidRPr="00C17552">
        <w:rPr>
          <w:i/>
          <w:lang w:val="en-US"/>
        </w:rPr>
        <w:t>Corey O’Hern</w:t>
      </w:r>
    </w:p>
    <w:p w:rsidR="00E97E31" w:rsidRPr="00C17552" w:rsidRDefault="00E97E31" w:rsidP="00C17552">
      <w:pPr>
        <w:tabs>
          <w:tab w:val="left" w:pos="360"/>
        </w:tabs>
        <w:ind w:right="26"/>
        <w:rPr>
          <w:b/>
          <w:lang w:val="en-US"/>
        </w:rPr>
      </w:pPr>
      <w:r w:rsidRPr="00C17552">
        <w:rPr>
          <w:lang w:val="en-US"/>
        </w:rPr>
        <w:t>11:15</w:t>
      </w:r>
      <w:r w:rsidRPr="00C17552">
        <w:rPr>
          <w:lang w:val="en-US"/>
        </w:rPr>
        <w:tab/>
      </w:r>
      <w:r w:rsidRPr="00C17552">
        <w:rPr>
          <w:b/>
          <w:lang w:val="en-US"/>
        </w:rPr>
        <w:t xml:space="preserve">Abe </w:t>
      </w:r>
      <w:smartTag w:uri="urn:schemas-microsoft-com:office:smarttags" w:element="place">
        <w:r w:rsidRPr="00C17552">
          <w:rPr>
            <w:b/>
            <w:lang w:val="en-US"/>
          </w:rPr>
          <w:t>Clark</w:t>
        </w:r>
      </w:smartTag>
      <w:r w:rsidRPr="00C17552">
        <w:rPr>
          <w:b/>
          <w:lang w:val="en-US"/>
        </w:rPr>
        <w:t xml:space="preserve"> </w:t>
      </w:r>
      <w:hyperlink r:id="rId9" w:tooltip="View Abstract." w:history="1">
        <w:r w:rsidRPr="00C17552">
          <w:rPr>
            <w:b/>
            <w:bCs/>
            <w:i/>
            <w:iCs/>
            <w:color w:val="3F3FFF"/>
          </w:rPr>
          <w:t>Critical scaling of the granular yielding transition</w:t>
        </w:r>
      </w:hyperlink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>12:00</w:t>
      </w:r>
      <w:r w:rsidRPr="00C17552">
        <w:rPr>
          <w:lang w:val="en-US"/>
        </w:rPr>
        <w:tab/>
        <w:t xml:space="preserve">Christian Hubicki </w:t>
      </w:r>
      <w:hyperlink r:id="rId10" w:tooltip="View Abstract." w:history="1">
        <w:r w:rsidRPr="00C17552">
          <w:rPr>
            <w:i/>
            <w:iCs/>
            <w:color w:val="3F3FFF"/>
          </w:rPr>
          <w:t>Optimizing robotic jumping on granular media</w:t>
        </w:r>
      </w:hyperlink>
    </w:p>
    <w:p w:rsidR="00E97E31" w:rsidRPr="00C17552" w:rsidRDefault="00E97E31" w:rsidP="00C17552">
      <w:pPr>
        <w:tabs>
          <w:tab w:val="left" w:pos="360"/>
        </w:tabs>
        <w:ind w:left="720" w:right="26" w:hanging="720"/>
        <w:rPr>
          <w:lang w:val="en-US"/>
        </w:rPr>
      </w:pPr>
      <w:r w:rsidRPr="00C17552">
        <w:rPr>
          <w:lang w:val="en-US"/>
        </w:rPr>
        <w:t>12:15</w:t>
      </w:r>
      <w:r w:rsidRPr="00C17552">
        <w:rPr>
          <w:lang w:val="en-US"/>
        </w:rPr>
        <w:tab/>
        <w:t xml:space="preserve">Benjamin Allen </w:t>
      </w:r>
      <w:hyperlink r:id="rId11" w:tooltip="View Abstract." w:history="1">
        <w:r w:rsidRPr="00C17552">
          <w:rPr>
            <w:i/>
            <w:iCs/>
            <w:color w:val="3F3FFF"/>
          </w:rPr>
          <w:t xml:space="preserve">Armoring and morphology of a granular </w:t>
        </w:r>
        <w:r>
          <w:rPr>
            <w:i/>
            <w:iCs/>
            <w:color w:val="3F3FFF"/>
          </w:rPr>
          <w:t xml:space="preserve">bed below the critical Shield's </w:t>
        </w:r>
        <w:r w:rsidRPr="00C17552">
          <w:rPr>
            <w:i/>
            <w:iCs/>
            <w:color w:val="3F3FFF"/>
          </w:rPr>
          <w:t>number in shear flow</w:t>
        </w:r>
      </w:hyperlink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 xml:space="preserve">12:30 </w:t>
      </w:r>
      <w:r w:rsidRPr="00C17552">
        <w:rPr>
          <w:lang w:val="en-US"/>
        </w:rPr>
        <w:tab/>
      </w:r>
      <w:r w:rsidRPr="00C17552">
        <w:rPr>
          <w:b/>
          <w:i/>
          <w:lang w:val="en-US"/>
        </w:rPr>
        <w:t>Lunch</w:t>
      </w:r>
    </w:p>
    <w:p w:rsidR="00E97E31" w:rsidRPr="00C17552" w:rsidRDefault="00E97E31" w:rsidP="00C17552">
      <w:pPr>
        <w:tabs>
          <w:tab w:val="left" w:pos="360"/>
        </w:tabs>
        <w:ind w:right="26"/>
        <w:rPr>
          <w:b/>
          <w:lang w:val="en-US"/>
        </w:rPr>
      </w:pPr>
      <w:r w:rsidRPr="00C17552">
        <w:rPr>
          <w:b/>
          <w:lang w:val="en-US"/>
        </w:rPr>
        <w:t xml:space="preserve">Session 3 </w:t>
      </w:r>
      <w:r w:rsidRPr="00C17552">
        <w:rPr>
          <w:b/>
          <w:lang w:val="en-US"/>
        </w:rPr>
        <w:tab/>
      </w:r>
      <w:r w:rsidRPr="00C17552">
        <w:rPr>
          <w:i/>
          <w:lang w:val="en-US"/>
        </w:rPr>
        <w:t>Chair:</w:t>
      </w:r>
      <w:r w:rsidRPr="00C17552">
        <w:rPr>
          <w:b/>
          <w:lang w:val="en-US"/>
        </w:rPr>
        <w:t xml:space="preserve"> </w:t>
      </w:r>
      <w:r w:rsidRPr="00C17552">
        <w:rPr>
          <w:i/>
          <w:lang w:val="en-US"/>
        </w:rPr>
        <w:t>N. Menon</w:t>
      </w:r>
    </w:p>
    <w:p w:rsidR="00E97E31" w:rsidRPr="00C17552" w:rsidRDefault="00E97E31" w:rsidP="00C17552">
      <w:pPr>
        <w:tabs>
          <w:tab w:val="left" w:pos="360"/>
        </w:tabs>
        <w:ind w:right="26"/>
        <w:rPr>
          <w:b/>
          <w:lang w:val="en-US"/>
        </w:rPr>
      </w:pPr>
      <w:r w:rsidRPr="00C17552">
        <w:rPr>
          <w:lang w:val="en-US"/>
        </w:rPr>
        <w:t>1:30</w:t>
      </w:r>
      <w:r w:rsidRPr="00C17552">
        <w:rPr>
          <w:lang w:val="en-US"/>
        </w:rPr>
        <w:tab/>
      </w:r>
      <w:r w:rsidRPr="00C17552">
        <w:rPr>
          <w:b/>
          <w:lang w:val="en-US"/>
        </w:rPr>
        <w:t xml:space="preserve">Tony Dinsmore </w:t>
      </w:r>
      <w:hyperlink r:id="rId12" w:tooltip="View Abstract." w:history="1">
        <w:r w:rsidRPr="00C17552">
          <w:rPr>
            <w:b/>
            <w:bCs/>
            <w:i/>
            <w:iCs/>
            <w:color w:val="3F3FFF"/>
          </w:rPr>
          <w:t>Measuring the yield stress of charged granular media</w:t>
        </w:r>
      </w:hyperlink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 xml:space="preserve">2:15 </w:t>
      </w:r>
      <w:r w:rsidRPr="00C17552">
        <w:rPr>
          <w:lang w:val="en-US"/>
        </w:rPr>
        <w:tab/>
      </w:r>
      <w:r w:rsidRPr="00C17552">
        <w:rPr>
          <w:i/>
          <w:lang w:val="en-US"/>
        </w:rPr>
        <w:t>Coffee/Snack/</w:t>
      </w:r>
      <w:r w:rsidRPr="00C17552">
        <w:rPr>
          <w:b/>
          <w:i/>
          <w:lang w:val="en-US"/>
        </w:rPr>
        <w:t>Posters</w:t>
      </w:r>
    </w:p>
    <w:p w:rsidR="00E97E31" w:rsidRPr="00C17552" w:rsidRDefault="00E97E31" w:rsidP="00C17552">
      <w:pPr>
        <w:tabs>
          <w:tab w:val="left" w:pos="360"/>
        </w:tabs>
        <w:ind w:right="26"/>
        <w:rPr>
          <w:b/>
          <w:lang w:val="en-US"/>
        </w:rPr>
      </w:pPr>
      <w:r w:rsidRPr="00C17552">
        <w:rPr>
          <w:b/>
          <w:lang w:val="en-US"/>
        </w:rPr>
        <w:t>Session 4</w:t>
      </w:r>
      <w:r w:rsidRPr="00C17552">
        <w:rPr>
          <w:b/>
          <w:lang w:val="en-US"/>
        </w:rPr>
        <w:tab/>
      </w:r>
      <w:r w:rsidRPr="00C17552">
        <w:rPr>
          <w:i/>
          <w:lang w:val="en-US"/>
        </w:rPr>
        <w:t>Chair:</w:t>
      </w:r>
      <w:r w:rsidRPr="00C17552">
        <w:rPr>
          <w:b/>
          <w:lang w:val="en-US"/>
        </w:rPr>
        <w:t xml:space="preserve"> </w:t>
      </w:r>
      <w:r w:rsidRPr="00C17552">
        <w:rPr>
          <w:i/>
          <w:lang w:val="en-US"/>
        </w:rPr>
        <w:t>Mark Shattuck</w:t>
      </w:r>
    </w:p>
    <w:p w:rsidR="00E97E31" w:rsidRPr="00C17552" w:rsidRDefault="00E97E31" w:rsidP="00C17552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>2:45</w:t>
      </w:r>
      <w:r w:rsidRPr="00C17552">
        <w:rPr>
          <w:lang w:val="en-US"/>
        </w:rPr>
        <w:tab/>
        <w:t xml:space="preserve">Alex Solon </w:t>
      </w:r>
      <w:hyperlink r:id="rId13" w:tooltip="View Abstract." w:history="1">
        <w:r w:rsidRPr="00C17552">
          <w:rPr>
            <w:i/>
            <w:iCs/>
            <w:color w:val="3F3FFF"/>
          </w:rPr>
          <w:t>Transient Casimir Forces from Quenches in Thermal and Active Matter</w:t>
        </w:r>
      </w:hyperlink>
    </w:p>
    <w:p w:rsidR="00E97E31" w:rsidRPr="00C17552" w:rsidRDefault="00E97E31" w:rsidP="00C17552">
      <w:pPr>
        <w:tabs>
          <w:tab w:val="left" w:pos="360"/>
        </w:tabs>
        <w:ind w:left="720" w:right="26" w:hanging="720"/>
        <w:rPr>
          <w:rStyle w:val="Emphasis"/>
          <w:color w:val="0000FF"/>
          <w:lang w:val="en-US"/>
        </w:rPr>
      </w:pPr>
      <w:r w:rsidRPr="00C17552">
        <w:rPr>
          <w:lang w:val="en-US"/>
        </w:rPr>
        <w:t>3:00</w:t>
      </w:r>
      <w:r w:rsidRPr="00C17552">
        <w:rPr>
          <w:lang w:val="en-US"/>
        </w:rPr>
        <w:tab/>
        <w:t xml:space="preserve">Qiong Zhang </w:t>
      </w:r>
      <w:hyperlink r:id="rId14" w:tooltip="View Abstract." w:history="1">
        <w:r w:rsidRPr="00C17552">
          <w:rPr>
            <w:i/>
            <w:iCs/>
            <w:color w:val="3F3FFF"/>
          </w:rPr>
          <w:t>Microscopic Description of the Granular Fluidity Field in Nonlocal Flow Modeling</w:t>
        </w:r>
      </w:hyperlink>
    </w:p>
    <w:p w:rsidR="00E97E31" w:rsidRPr="00C17552" w:rsidRDefault="00E97E31" w:rsidP="00C17552">
      <w:pPr>
        <w:tabs>
          <w:tab w:val="left" w:pos="360"/>
        </w:tabs>
        <w:ind w:left="720" w:right="26" w:hanging="720"/>
        <w:rPr>
          <w:lang w:val="en-US"/>
        </w:rPr>
      </w:pPr>
      <w:r w:rsidRPr="00C17552">
        <w:rPr>
          <w:lang w:val="en-US"/>
        </w:rPr>
        <w:t>3:15</w:t>
      </w:r>
      <w:r w:rsidRPr="00C17552">
        <w:rPr>
          <w:lang w:val="en-US"/>
        </w:rPr>
        <w:tab/>
      </w:r>
      <w:r w:rsidRPr="00C17552">
        <w:rPr>
          <w:b/>
          <w:lang w:val="en-US"/>
        </w:rPr>
        <w:t xml:space="preserve">Bodhi Chauduri </w:t>
      </w:r>
      <w:hyperlink r:id="rId15" w:tooltip="View Abstract." w:history="1">
        <w:r w:rsidRPr="00C17552">
          <w:rPr>
            <w:b/>
            <w:bCs/>
            <w:i/>
            <w:iCs/>
            <w:color w:val="3F3FFF"/>
          </w:rPr>
          <w:t>Experimentally validated numerical modeling of tribocharging in pharmaceutical powders</w:t>
        </w:r>
      </w:hyperlink>
    </w:p>
    <w:p w:rsidR="00E97E31" w:rsidRDefault="00E97E31" w:rsidP="00A4339A">
      <w:pPr>
        <w:tabs>
          <w:tab w:val="left" w:pos="360"/>
        </w:tabs>
        <w:ind w:right="26"/>
        <w:rPr>
          <w:lang w:val="en-US"/>
        </w:rPr>
      </w:pPr>
      <w:r w:rsidRPr="00C17552">
        <w:rPr>
          <w:lang w:val="en-US"/>
        </w:rPr>
        <w:t>4:00</w:t>
      </w:r>
      <w:r w:rsidRPr="00C17552">
        <w:rPr>
          <w:lang w:val="en-US"/>
        </w:rPr>
        <w:tab/>
      </w:r>
      <w:r w:rsidRPr="00C17552">
        <w:rPr>
          <w:b/>
          <w:i/>
          <w:lang w:val="en-US"/>
        </w:rPr>
        <w:t>Adjourn</w:t>
      </w:r>
      <w:r w:rsidRPr="00C17552">
        <w:rPr>
          <w:lang w:val="en-US"/>
        </w:rPr>
        <w:t xml:space="preserve"> </w:t>
      </w:r>
    </w:p>
    <w:p w:rsidR="00E97E31" w:rsidRDefault="00E97E31" w:rsidP="00A4339A">
      <w:pPr>
        <w:tabs>
          <w:tab w:val="left" w:pos="360"/>
        </w:tabs>
        <w:ind w:right="26"/>
        <w:rPr>
          <w:lang w:val="en-US"/>
        </w:rPr>
      </w:pPr>
    </w:p>
    <w:p w:rsidR="00E97E31" w:rsidRDefault="00E97E31" w:rsidP="00A4339A">
      <w:pPr>
        <w:tabs>
          <w:tab w:val="left" w:pos="360"/>
        </w:tabs>
        <w:ind w:right="26"/>
        <w:rPr>
          <w:lang w:val="en-US"/>
        </w:rPr>
      </w:pPr>
    </w:p>
    <w:p w:rsidR="00E97E31" w:rsidRDefault="00E97E31" w:rsidP="00A4339A">
      <w:pPr>
        <w:tabs>
          <w:tab w:val="left" w:pos="360"/>
        </w:tabs>
        <w:ind w:right="26"/>
        <w:rPr>
          <w:lang w:val="en-US"/>
        </w:rPr>
      </w:pPr>
    </w:p>
    <w:p w:rsidR="00E97E31" w:rsidRDefault="00E97E31" w:rsidP="00A4339A">
      <w:pPr>
        <w:tabs>
          <w:tab w:val="left" w:pos="360"/>
        </w:tabs>
        <w:ind w:right="26"/>
        <w:jc w:val="center"/>
        <w:rPr>
          <w:b/>
          <w:lang w:val="en-US"/>
        </w:rPr>
      </w:pPr>
    </w:p>
    <w:p w:rsidR="00E97E31" w:rsidRDefault="00E97E31" w:rsidP="00A4339A">
      <w:pPr>
        <w:tabs>
          <w:tab w:val="left" w:pos="360"/>
        </w:tabs>
        <w:ind w:right="26"/>
        <w:jc w:val="center"/>
        <w:rPr>
          <w:b/>
          <w:lang w:val="en-US"/>
        </w:rPr>
      </w:pPr>
    </w:p>
    <w:p w:rsidR="00E97E31" w:rsidRDefault="00E97E31" w:rsidP="00A4339A">
      <w:pPr>
        <w:tabs>
          <w:tab w:val="left" w:pos="360"/>
        </w:tabs>
        <w:ind w:right="26"/>
        <w:jc w:val="center"/>
        <w:rPr>
          <w:b/>
          <w:lang w:val="en-US"/>
        </w:rPr>
      </w:pPr>
      <w:r w:rsidRPr="005E7DD5">
        <w:rPr>
          <w:b/>
          <w:lang w:val="en-US"/>
        </w:rPr>
        <w:t>Poster presentations</w:t>
      </w:r>
    </w:p>
    <w:tbl>
      <w:tblPr>
        <w:tblW w:w="9225" w:type="dxa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5"/>
        <w:gridCol w:w="2520"/>
        <w:gridCol w:w="4500"/>
      </w:tblGrid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 xml:space="preserve">Hamed Abdi 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>Northeastern</w:t>
            </w:r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6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Paramagnetic Colloids: Chaotic Routes to Clusters and Molecules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 xml:space="preserve">David Henann 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Brown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7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Size Dependence of the Yield Threshold in Dense Granular Materials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>Shihong Li Li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Brown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8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Stability of the nonlocal granular fluidity model for steady, dense granular flow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 xml:space="preserve">Prithviraj Nandigrami 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Kent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State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9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Thermodynamic and Kinetic Representations of Cooperative Allosteric Binding in Calmodulin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 xml:space="preserve">Andreea Panaitescu 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Clark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0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Collective deformation of multi-filament packings under twist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>David Schunter Jr.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Boston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1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Elastogranular Mechanics</w:t>
              </w:r>
            </w:hyperlink>
          </w:p>
        </w:tc>
      </w:tr>
      <w:tr w:rsidR="00E97E31" w:rsidRPr="00026065" w:rsidTr="00A4339A">
        <w:tc>
          <w:tcPr>
            <w:tcW w:w="22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 xml:space="preserve">Lee Walsh </w:t>
            </w:r>
          </w:p>
        </w:tc>
        <w:tc>
          <w:tcPr>
            <w:tcW w:w="2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smartTag w:uri="urn:schemas-microsoft-com:office:smarttags" w:element="PlaceName"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University</w:t>
                </w:r>
              </w:smartTag>
              <w:r w:rsidRPr="00026065">
                <w:rPr>
                  <w:rFonts w:ascii="Trebuchet MS" w:hAnsi="Trebuchet MS"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026065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Massachusetts</w:t>
                </w:r>
              </w:smartTag>
            </w:smartTag>
            <w:r w:rsidRPr="00026065">
              <w:rPr>
                <w:rFonts w:ascii="Trebuchet MS" w:hAnsi="Trebuchet MS"/>
                <w:sz w:val="20"/>
                <w:szCs w:val="20"/>
                <w:lang w:val="en-US"/>
              </w:rPr>
              <w:t>, Amherst</w:t>
            </w:r>
          </w:p>
        </w:tc>
        <w:tc>
          <w:tcPr>
            <w:tcW w:w="45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97E31" w:rsidRPr="00026065" w:rsidRDefault="00E97E31" w:rsidP="00A4339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2" w:tooltip="View Abstract." w:history="1">
              <w:r w:rsidRPr="00026065">
                <w:rPr>
                  <w:rFonts w:ascii="Trebuchet MS" w:hAnsi="Trebuchet MS"/>
                  <w:i/>
                  <w:iCs/>
                  <w:color w:val="3F3FFF"/>
                  <w:sz w:val="17"/>
                  <w:lang w:val="en-US"/>
                </w:rPr>
                <w:t>Noise and diffusion in vibrated self-propelled granular particles</w:t>
              </w:r>
            </w:hyperlink>
          </w:p>
        </w:tc>
      </w:tr>
    </w:tbl>
    <w:p w:rsidR="00E97E31" w:rsidRPr="005E7DD5" w:rsidRDefault="00E97E31" w:rsidP="00A4339A">
      <w:pPr>
        <w:tabs>
          <w:tab w:val="left" w:pos="360"/>
        </w:tabs>
        <w:ind w:right="26"/>
        <w:jc w:val="both"/>
        <w:rPr>
          <w:lang w:val="en-US"/>
        </w:rPr>
      </w:pPr>
    </w:p>
    <w:sectPr w:rsidR="00E97E31" w:rsidRPr="005E7DD5" w:rsidSect="00A4339A">
      <w:pgSz w:w="12240" w:h="15840" w:code="1"/>
      <w:pgMar w:top="1440" w:right="1440" w:bottom="54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0E6"/>
    <w:rsid w:val="00005DFE"/>
    <w:rsid w:val="00026065"/>
    <w:rsid w:val="000870E6"/>
    <w:rsid w:val="000C248E"/>
    <w:rsid w:val="001D2497"/>
    <w:rsid w:val="00376DAB"/>
    <w:rsid w:val="00523D2E"/>
    <w:rsid w:val="0059032E"/>
    <w:rsid w:val="005E737A"/>
    <w:rsid w:val="005E7DD5"/>
    <w:rsid w:val="006354AB"/>
    <w:rsid w:val="0066630F"/>
    <w:rsid w:val="00710CA0"/>
    <w:rsid w:val="007350C8"/>
    <w:rsid w:val="007629AC"/>
    <w:rsid w:val="007902A8"/>
    <w:rsid w:val="00804F67"/>
    <w:rsid w:val="00837639"/>
    <w:rsid w:val="008E1A23"/>
    <w:rsid w:val="009037EE"/>
    <w:rsid w:val="00976FBE"/>
    <w:rsid w:val="009D1825"/>
    <w:rsid w:val="009E1203"/>
    <w:rsid w:val="009F3EE3"/>
    <w:rsid w:val="00A075E5"/>
    <w:rsid w:val="00A4339A"/>
    <w:rsid w:val="00AA5645"/>
    <w:rsid w:val="00BB524B"/>
    <w:rsid w:val="00C145B3"/>
    <w:rsid w:val="00C17552"/>
    <w:rsid w:val="00C2089E"/>
    <w:rsid w:val="00D86C7E"/>
    <w:rsid w:val="00E770D0"/>
    <w:rsid w:val="00E97E31"/>
    <w:rsid w:val="00EF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7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0C8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7350C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350C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D249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69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82">
          <w:marLeft w:val="5"/>
          <w:marRight w:val="5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972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74">
          <w:marLeft w:val="5"/>
          <w:marRight w:val="5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976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70">
          <w:marLeft w:val="0"/>
          <w:marRight w:val="0"/>
          <w:marTop w:val="0"/>
          <w:marBottom w:val="0"/>
          <w:divBdr>
            <w:top w:val="single" w:sz="6" w:space="0" w:color="AFAFAF"/>
            <w:left w:val="single" w:sz="6" w:space="0" w:color="AFAFAF"/>
            <w:bottom w:val="single" w:sz="6" w:space="4" w:color="AFAFAF"/>
            <w:right w:val="single" w:sz="6" w:space="0" w:color="AFAFAF"/>
          </w:divBdr>
          <w:divsChild>
            <w:div w:id="6160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978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73">
          <w:marLeft w:val="0"/>
          <w:marRight w:val="0"/>
          <w:marTop w:val="0"/>
          <w:marBottom w:val="0"/>
          <w:divBdr>
            <w:top w:val="single" w:sz="6" w:space="0" w:color="AFAFAF"/>
            <w:left w:val="single" w:sz="6" w:space="0" w:color="AFAFAF"/>
            <w:bottom w:val="single" w:sz="6" w:space="5" w:color="AFAFAF"/>
            <w:right w:val="single" w:sz="6" w:space="0" w:color="AFAFAF"/>
          </w:divBdr>
        </w:div>
      </w:divsChild>
    </w:div>
    <w:div w:id="616062980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75">
          <w:marLeft w:val="5"/>
          <w:marRight w:val="5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983">
      <w:marLeft w:val="45"/>
      <w:marRight w:val="45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2971">
          <w:marLeft w:val="5"/>
          <w:marRight w:val="5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bbs.engr.ccny.cuny.edu/NEGW/viewabstract.php?id=388" TargetMode="External"/><Relationship Id="rId13" Type="http://schemas.openxmlformats.org/officeDocument/2006/relationships/hyperlink" Target="http://gibbs.engr.ccny.cuny.edu/NEGW/viewabstract.php?id=414" TargetMode="External"/><Relationship Id="rId18" Type="http://schemas.openxmlformats.org/officeDocument/2006/relationships/hyperlink" Target="http://gibbs.engr.ccny.cuny.edu/NEGW/viewabstract.php?id=3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ibbs.engr.ccny.cuny.edu/NEGW/viewabstract.php?id=424" TargetMode="External"/><Relationship Id="rId7" Type="http://schemas.openxmlformats.org/officeDocument/2006/relationships/hyperlink" Target="http://gibbs.engr.ccny.cuny.edu/NEGW/viewabstract.php?id=417" TargetMode="External"/><Relationship Id="rId12" Type="http://schemas.openxmlformats.org/officeDocument/2006/relationships/hyperlink" Target="http://gibbs.engr.ccny.cuny.edu/NEGW/viewabstract.php?id=136" TargetMode="External"/><Relationship Id="rId17" Type="http://schemas.openxmlformats.org/officeDocument/2006/relationships/hyperlink" Target="http://gibbs.engr.ccny.cuny.edu/NEGW/viewabstract.php?id=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bbs.engr.ccny.cuny.edu/NEGW/viewabstract.php?id=434" TargetMode="External"/><Relationship Id="rId20" Type="http://schemas.openxmlformats.org/officeDocument/2006/relationships/hyperlink" Target="http://gibbs.engr.ccny.cuny.edu/NEGW/viewabstract.php?id=155" TargetMode="External"/><Relationship Id="rId1" Type="http://schemas.openxmlformats.org/officeDocument/2006/relationships/styles" Target="styles.xml"/><Relationship Id="rId6" Type="http://schemas.openxmlformats.org/officeDocument/2006/relationships/hyperlink" Target="http://gibbs.engr.ccny.cuny.edu/NEGW/viewabstract.php?id=413" TargetMode="External"/><Relationship Id="rId11" Type="http://schemas.openxmlformats.org/officeDocument/2006/relationships/hyperlink" Target="http://gibbs.engr.ccny.cuny.edu/NEGW/viewabstract.php?id=3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eu.edu/" TargetMode="External"/><Relationship Id="rId15" Type="http://schemas.openxmlformats.org/officeDocument/2006/relationships/hyperlink" Target="http://gibbs.engr.ccny.cuny.edu/NEGW/viewabstract.php?id=4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ibbs.engr.ccny.cuny.edu/NEGW/viewabstract.php?id=426" TargetMode="External"/><Relationship Id="rId19" Type="http://schemas.openxmlformats.org/officeDocument/2006/relationships/hyperlink" Target="http://gibbs.engr.ccny.cuny.edu/NEGW/viewabstract.php?id=401" TargetMode="External"/><Relationship Id="rId4" Type="http://schemas.openxmlformats.org/officeDocument/2006/relationships/hyperlink" Target="http://www.mie.neu.edu/" TargetMode="External"/><Relationship Id="rId9" Type="http://schemas.openxmlformats.org/officeDocument/2006/relationships/hyperlink" Target="http://gibbs.engr.ccny.cuny.edu/NEGW/viewabstract.php?id=410" TargetMode="External"/><Relationship Id="rId14" Type="http://schemas.openxmlformats.org/officeDocument/2006/relationships/hyperlink" Target="http://gibbs.engr.ccny.cuny.edu/NEGW/viewabstract.php?id=418" TargetMode="External"/><Relationship Id="rId22" Type="http://schemas.openxmlformats.org/officeDocument/2006/relationships/hyperlink" Target="http://gibbs.engr.ccny.cuny.edu/NEGW/viewabstract.php?id=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565</Words>
  <Characters>3223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14th Northeast Granular Workshop</dc:title>
  <dc:subject/>
  <dc:creator>Narayanan Menon</dc:creator>
  <cp:keywords/>
  <dc:description/>
  <cp:lastModifiedBy>shattuck</cp:lastModifiedBy>
  <cp:revision>4</cp:revision>
  <dcterms:created xsi:type="dcterms:W3CDTF">2016-06-01T18:40:00Z</dcterms:created>
  <dcterms:modified xsi:type="dcterms:W3CDTF">2017-05-31T20:58:00Z</dcterms:modified>
</cp:coreProperties>
</file>